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F" w:rsidRDefault="00CE0171" w:rsidP="0035024F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-699770</wp:posOffset>
            </wp:positionV>
            <wp:extent cx="3269161" cy="152463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_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161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24F" w:rsidRDefault="0035024F" w:rsidP="0035024F"/>
    <w:p w:rsidR="0035024F" w:rsidRDefault="0035024F" w:rsidP="0035024F">
      <w:pPr>
        <w:rPr>
          <w:b/>
          <w:sz w:val="48"/>
          <w:szCs w:val="48"/>
        </w:rPr>
      </w:pPr>
    </w:p>
    <w:p w:rsidR="0035024F" w:rsidRPr="0035024F" w:rsidRDefault="0035024F" w:rsidP="0035024F">
      <w:pPr>
        <w:jc w:val="right"/>
        <w:rPr>
          <w:b/>
          <w:sz w:val="32"/>
          <w:szCs w:val="32"/>
          <w:u w:val="single"/>
        </w:rPr>
      </w:pPr>
      <w:r w:rsidRPr="0035024F">
        <w:rPr>
          <w:b/>
          <w:sz w:val="32"/>
          <w:szCs w:val="32"/>
          <w:u w:val="single"/>
        </w:rPr>
        <w:t>NOTA DE PRENSA</w:t>
      </w:r>
    </w:p>
    <w:p w:rsidR="0035024F" w:rsidRPr="00F814DA" w:rsidRDefault="00F814DA" w:rsidP="0035024F">
      <w:pPr>
        <w:jc w:val="center"/>
        <w:rPr>
          <w:b/>
          <w:sz w:val="40"/>
          <w:szCs w:val="40"/>
        </w:rPr>
      </w:pPr>
      <w:r w:rsidRPr="00F814DA">
        <w:rPr>
          <w:b/>
          <w:sz w:val="40"/>
          <w:szCs w:val="40"/>
        </w:rPr>
        <w:t xml:space="preserve">La Ruta del Vino Ribera del Duero </w:t>
      </w:r>
      <w:r w:rsidR="00F3364E">
        <w:rPr>
          <w:b/>
          <w:sz w:val="40"/>
          <w:szCs w:val="40"/>
        </w:rPr>
        <w:t xml:space="preserve">se llena de actividades durante la Semana del </w:t>
      </w:r>
      <w:proofErr w:type="spellStart"/>
      <w:r w:rsidR="00F3364E">
        <w:rPr>
          <w:b/>
          <w:sz w:val="40"/>
          <w:szCs w:val="40"/>
        </w:rPr>
        <w:t>Enoturismo</w:t>
      </w:r>
      <w:proofErr w:type="spellEnd"/>
      <w:r w:rsidRPr="00F814DA">
        <w:rPr>
          <w:b/>
          <w:sz w:val="40"/>
          <w:szCs w:val="40"/>
        </w:rPr>
        <w:t xml:space="preserve"> </w:t>
      </w:r>
    </w:p>
    <w:p w:rsidR="008E4BF0" w:rsidRPr="008E4BF0" w:rsidRDefault="00BD42F9" w:rsidP="008F074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treintena de bodegas y restaurantes ofrecen actividades entre el 6 y el 12 de noviembre para favorecer el acercamiento a la cultura del vino</w:t>
      </w:r>
    </w:p>
    <w:p w:rsidR="008E4BF0" w:rsidRPr="008E4BF0" w:rsidRDefault="00BD42F9" w:rsidP="008F0749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 primera vez las seis rutas del vino de la región y la Junta de Castilla y León unen esfuerzos para extender las actividades del Día Europeo del Vino a toda una semana</w:t>
      </w:r>
    </w:p>
    <w:p w:rsidR="009F6A6E" w:rsidRDefault="00F814DA" w:rsidP="009C3DA4">
      <w:pPr>
        <w:jc w:val="both"/>
      </w:pPr>
      <w:r>
        <w:rPr>
          <w:b/>
        </w:rPr>
        <w:t>Aranda de Duero</w:t>
      </w:r>
      <w:r w:rsidR="008E4BF0">
        <w:rPr>
          <w:b/>
        </w:rPr>
        <w:t>,</w:t>
      </w:r>
      <w:r w:rsidR="00632002">
        <w:rPr>
          <w:b/>
        </w:rPr>
        <w:t xml:space="preserve"> (</w:t>
      </w:r>
      <w:r>
        <w:rPr>
          <w:b/>
        </w:rPr>
        <w:t>Burgos</w:t>
      </w:r>
      <w:r w:rsidR="00632002">
        <w:rPr>
          <w:b/>
        </w:rPr>
        <w:t>)</w:t>
      </w:r>
      <w:r w:rsidR="008E4BF0">
        <w:rPr>
          <w:b/>
        </w:rPr>
        <w:t xml:space="preserve"> </w:t>
      </w:r>
      <w:r w:rsidR="00F3364E">
        <w:rPr>
          <w:b/>
        </w:rPr>
        <w:t>6</w:t>
      </w:r>
      <w:r w:rsidR="00644332">
        <w:rPr>
          <w:b/>
        </w:rPr>
        <w:t xml:space="preserve"> </w:t>
      </w:r>
      <w:r>
        <w:rPr>
          <w:b/>
        </w:rPr>
        <w:t>noviembre</w:t>
      </w:r>
      <w:r w:rsidR="00644332">
        <w:rPr>
          <w:b/>
        </w:rPr>
        <w:t xml:space="preserve"> 2017</w:t>
      </w:r>
      <w:r w:rsidR="008E4BF0">
        <w:t xml:space="preserve">.- </w:t>
      </w:r>
      <w:r w:rsidR="009C3DA4">
        <w:t xml:space="preserve">La </w:t>
      </w:r>
      <w:r w:rsidR="009C3DA4">
        <w:rPr>
          <w:b/>
        </w:rPr>
        <w:t>Ruta del Vino Ribera del Duero</w:t>
      </w:r>
      <w:r w:rsidR="009C3DA4">
        <w:t xml:space="preserve"> celebra este año de manera especial el </w:t>
      </w:r>
      <w:r w:rsidR="009C3DA4">
        <w:rPr>
          <w:b/>
        </w:rPr>
        <w:t xml:space="preserve">Día Europeo del </w:t>
      </w:r>
      <w:proofErr w:type="spellStart"/>
      <w:r w:rsidR="009C3DA4">
        <w:rPr>
          <w:b/>
        </w:rPr>
        <w:t>Enoturismo</w:t>
      </w:r>
      <w:proofErr w:type="spellEnd"/>
      <w:r w:rsidR="009C3DA4">
        <w:rPr>
          <w:b/>
        </w:rPr>
        <w:t xml:space="preserve"> </w:t>
      </w:r>
      <w:r w:rsidR="009C3DA4">
        <w:t xml:space="preserve">extendiendo a toda una semana un variado programa </w:t>
      </w:r>
      <w:proofErr w:type="spellStart"/>
      <w:r w:rsidR="009C3DA4">
        <w:t>enogastronómico</w:t>
      </w:r>
      <w:proofErr w:type="spellEnd"/>
      <w:r w:rsidR="009C3DA4">
        <w:t xml:space="preserve"> con el que pretende promocionar la cultura del mundo del vino, el patrimonio vitivinícola y las tradiciones de sus municipios.</w:t>
      </w:r>
      <w:r w:rsidR="00B802A0">
        <w:t xml:space="preserve"> </w:t>
      </w:r>
    </w:p>
    <w:p w:rsidR="00F814DA" w:rsidRDefault="00B802A0" w:rsidP="00F814DA">
      <w:pPr>
        <w:jc w:val="both"/>
      </w:pPr>
      <w:r>
        <w:t xml:space="preserve">Entre el 6 y el 12 de noviembre una treintena de </w:t>
      </w:r>
      <w:r w:rsidR="009F6A6E">
        <w:t>bodegas</w:t>
      </w:r>
      <w:r w:rsidR="009C3DA4">
        <w:t xml:space="preserve"> y restaurantes adheridos a la R</w:t>
      </w:r>
      <w:r w:rsidR="009F6A6E">
        <w:t>uta</w:t>
      </w:r>
      <w:r>
        <w:t xml:space="preserve"> proponen más de 40 actividades </w:t>
      </w:r>
      <w:r w:rsidR="00294D2C">
        <w:t>a través de</w:t>
      </w:r>
      <w:r>
        <w:t xml:space="preserve"> las </w:t>
      </w:r>
      <w:r w:rsidR="009F6A6E">
        <w:t>cuales</w:t>
      </w:r>
      <w:r>
        <w:t xml:space="preserve"> los visitantes pue</w:t>
      </w:r>
      <w:r w:rsidR="00A6547D">
        <w:t xml:space="preserve">den convertirse por unos momentos en viticultores y enólogos y degustar sus propias producciones, pero también disfrutar de la rica gastronomía de la zona o sorprenderse con </w:t>
      </w:r>
      <w:r w:rsidR="00294D2C">
        <w:t xml:space="preserve">los efectos del </w:t>
      </w:r>
      <w:r w:rsidR="00A6547D">
        <w:t xml:space="preserve">maridaje </w:t>
      </w:r>
      <w:r w:rsidR="00294D2C">
        <w:t xml:space="preserve">de sus caldos </w:t>
      </w:r>
      <w:r w:rsidR="00A6547D">
        <w:t>con productos de la tierra</w:t>
      </w:r>
      <w:r w:rsidR="00F814DA">
        <w:t>.</w:t>
      </w:r>
    </w:p>
    <w:p w:rsidR="00A6547D" w:rsidRDefault="00A6547D" w:rsidP="00F814DA">
      <w:pPr>
        <w:jc w:val="both"/>
      </w:pPr>
      <w:r>
        <w:t>Las visitas a viñedos y bodegas</w:t>
      </w:r>
      <w:r w:rsidR="00294D2C">
        <w:t>, coincidiendo justo con el término de la vendimia,</w:t>
      </w:r>
      <w:r>
        <w:t xml:space="preserve"> concentran buena parte de </w:t>
      </w:r>
      <w:r w:rsidR="00294D2C">
        <w:t>las propuestas</w:t>
      </w:r>
      <w:r>
        <w:t xml:space="preserve">. </w:t>
      </w:r>
      <w:r w:rsidR="009C3DA4">
        <w:t xml:space="preserve">Sin embargo, echando mano a la imaginación </w:t>
      </w:r>
      <w:r w:rsidR="009F6A6E">
        <w:t xml:space="preserve">se </w:t>
      </w:r>
      <w:r w:rsidR="00294D2C">
        <w:t xml:space="preserve">plantea recorrerlos en bicicleta, </w:t>
      </w:r>
      <w:r w:rsidR="009C3DA4">
        <w:t xml:space="preserve">saborear la uva una vez se ha </w:t>
      </w:r>
      <w:proofErr w:type="spellStart"/>
      <w:r w:rsidR="009C3DA4">
        <w:t>pasificado</w:t>
      </w:r>
      <w:proofErr w:type="spellEnd"/>
      <w:r w:rsidR="009C3DA4">
        <w:t xml:space="preserve">, </w:t>
      </w:r>
      <w:r w:rsidR="009F6A6E">
        <w:t>prob</w:t>
      </w:r>
      <w:r w:rsidR="00294D2C">
        <w:t xml:space="preserve">ar el vino directamente de la barrica, o </w:t>
      </w:r>
      <w:r w:rsidR="009F6A6E">
        <w:t>cata</w:t>
      </w:r>
      <w:r w:rsidR="00294D2C">
        <w:t>r las nuevas añadas</w:t>
      </w:r>
      <w:r w:rsidR="009F6A6E">
        <w:t xml:space="preserve"> que están a punto de salir al mercado</w:t>
      </w:r>
      <w:r w:rsidR="00294D2C">
        <w:t xml:space="preserve">. Todo ello sin olvidarse de </w:t>
      </w:r>
      <w:r w:rsidR="009F6A6E">
        <w:t>otras alternativas, como</w:t>
      </w:r>
      <w:r w:rsidR="00294D2C">
        <w:t xml:space="preserve"> la realización de un curso de cata o la posibilidad de convertirse en enólogo por un día.</w:t>
      </w:r>
    </w:p>
    <w:p w:rsidR="00294D2C" w:rsidRDefault="00294D2C" w:rsidP="00F814DA">
      <w:pPr>
        <w:jc w:val="both"/>
      </w:pPr>
      <w:r>
        <w:t xml:space="preserve">La gastronomía juega también un papel fundamental en esta oferta </w:t>
      </w:r>
      <w:proofErr w:type="spellStart"/>
      <w:r>
        <w:t>enoturística</w:t>
      </w:r>
      <w:proofErr w:type="spellEnd"/>
      <w:r>
        <w:t xml:space="preserve">. Por esta razón, son numerosas las propuestas que invitan a saborear cuidados menús en los que los productos de la tierra y de temporada </w:t>
      </w:r>
      <w:r w:rsidR="00EA7F29">
        <w:t>se unen a la perfección con los vinos de la zona.</w:t>
      </w:r>
    </w:p>
    <w:p w:rsidR="00EA7F29" w:rsidRDefault="009C3DA4" w:rsidP="00F814DA">
      <w:pPr>
        <w:jc w:val="both"/>
      </w:pPr>
      <w:r>
        <w:t xml:space="preserve">El programa está concebido tanto para </w:t>
      </w:r>
      <w:proofErr w:type="spellStart"/>
      <w:r>
        <w:t>enoturistas</w:t>
      </w:r>
      <w:proofErr w:type="spellEnd"/>
      <w:r>
        <w:t xml:space="preserve"> neófitos que se están iniciando en el mundo del vino, como para los más avanzados </w:t>
      </w:r>
      <w:proofErr w:type="spellStart"/>
      <w:r>
        <w:t>winelovers</w:t>
      </w:r>
      <w:proofErr w:type="spellEnd"/>
      <w:r>
        <w:t>. Los visitantes pueden elegir la opción que mejor se ajuste a sus demandas a partir de sólo ocho euros.</w:t>
      </w:r>
    </w:p>
    <w:p w:rsidR="00A6547D" w:rsidRDefault="00A6547D" w:rsidP="00F814DA">
      <w:pPr>
        <w:jc w:val="both"/>
      </w:pPr>
      <w:r>
        <w:t xml:space="preserve">El </w:t>
      </w:r>
      <w:r>
        <w:rPr>
          <w:b/>
        </w:rPr>
        <w:t xml:space="preserve">Día Europeo del </w:t>
      </w:r>
      <w:proofErr w:type="spellStart"/>
      <w:r>
        <w:rPr>
          <w:b/>
        </w:rPr>
        <w:t>Enoturismo</w:t>
      </w:r>
      <w:proofErr w:type="spellEnd"/>
      <w:r>
        <w:rPr>
          <w:b/>
        </w:rPr>
        <w:t xml:space="preserve"> </w:t>
      </w:r>
      <w:r>
        <w:t>fue instituido en 2009 por la Red Europea de Ciudades del Vino (</w:t>
      </w:r>
      <w:proofErr w:type="spellStart"/>
      <w:r>
        <w:t>Recevin</w:t>
      </w:r>
      <w:proofErr w:type="spellEnd"/>
      <w:r>
        <w:t>) y se celebra el segundo domingo de noviembre, este año el día 12, con intensos programas de actividades en las ciudades integrantes de este colectivo.</w:t>
      </w:r>
    </w:p>
    <w:p w:rsidR="00A6547D" w:rsidRPr="00A6547D" w:rsidRDefault="00A6547D" w:rsidP="00F814DA">
      <w:pPr>
        <w:jc w:val="both"/>
      </w:pPr>
      <w:r>
        <w:t xml:space="preserve">Este año, por primera vez, las seis Rutas del Vino de Castilla y León; </w:t>
      </w:r>
      <w:r>
        <w:rPr>
          <w:b/>
        </w:rPr>
        <w:t xml:space="preserve">Arlanza, Bierzo, Cigales, Ribera del Duero, Rueda </w:t>
      </w:r>
      <w:r>
        <w:t xml:space="preserve">y </w:t>
      </w:r>
      <w:r>
        <w:rPr>
          <w:b/>
        </w:rPr>
        <w:t>Sierra de Francia</w:t>
      </w:r>
      <w:r>
        <w:t xml:space="preserve">, en colaboración con la </w:t>
      </w:r>
      <w:r>
        <w:rPr>
          <w:b/>
        </w:rPr>
        <w:t xml:space="preserve">Junta de Castilla y León </w:t>
      </w:r>
      <w:r>
        <w:lastRenderedPageBreak/>
        <w:t>han unido esfuerzo</w:t>
      </w:r>
      <w:r w:rsidR="00D33250">
        <w:t>s</w:t>
      </w:r>
      <w:r>
        <w:t xml:space="preserve"> para hacerlo extensivo a toda la </w:t>
      </w:r>
      <w:r w:rsidR="00D33250">
        <w:t xml:space="preserve">semana con el objetivo de promocionar conjuntamente la riqueza </w:t>
      </w:r>
      <w:proofErr w:type="spellStart"/>
      <w:r w:rsidR="00D33250">
        <w:t>enoturística</w:t>
      </w:r>
      <w:proofErr w:type="spellEnd"/>
      <w:r w:rsidR="00D33250">
        <w:t xml:space="preserve"> de la región.</w:t>
      </w:r>
    </w:p>
    <w:p w:rsidR="00083A3D" w:rsidRDefault="00083A3D" w:rsidP="00083A3D">
      <w:pPr>
        <w:jc w:val="both"/>
      </w:pPr>
    </w:p>
    <w:p w:rsidR="00C22AA2" w:rsidRPr="00CE0171" w:rsidRDefault="00CE0171" w:rsidP="00083A3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Sobre</w:t>
      </w:r>
      <w:r w:rsidR="00A24E9B">
        <w:rPr>
          <w:rFonts w:ascii="Arial Narrow" w:hAnsi="Arial Narrow"/>
          <w:b/>
        </w:rPr>
        <w:t xml:space="preserve"> la</w:t>
      </w:r>
      <w:r>
        <w:rPr>
          <w:rFonts w:ascii="Arial Narrow" w:hAnsi="Arial Narrow"/>
          <w:b/>
        </w:rPr>
        <w:t xml:space="preserve"> </w:t>
      </w:r>
      <w:r w:rsidR="00C22AA2" w:rsidRPr="00CE0171">
        <w:rPr>
          <w:rFonts w:ascii="Arial Narrow" w:hAnsi="Arial Narrow"/>
          <w:b/>
        </w:rPr>
        <w:t>Ruta</w:t>
      </w:r>
      <w:r>
        <w:rPr>
          <w:rFonts w:ascii="Arial Narrow" w:hAnsi="Arial Narrow"/>
          <w:b/>
        </w:rPr>
        <w:t xml:space="preserve"> del Vino Ribera del Duero</w:t>
      </w:r>
      <w:r w:rsidR="00C22AA2" w:rsidRPr="00CE0171">
        <w:rPr>
          <w:rFonts w:ascii="Arial Narrow" w:hAnsi="Arial Narrow"/>
          <w:b/>
        </w:rPr>
        <w:t xml:space="preserve"> </w:t>
      </w:r>
    </w:p>
    <w:p w:rsidR="00AA1116" w:rsidRPr="00C22AA2" w:rsidRDefault="00AA1116" w:rsidP="00C22AA2">
      <w:pPr>
        <w:spacing w:after="120"/>
        <w:jc w:val="both"/>
        <w:rPr>
          <w:rFonts w:ascii="Arial Narrow" w:hAnsi="Arial Narrow"/>
        </w:rPr>
      </w:pPr>
      <w:r w:rsidRPr="00C22AA2">
        <w:rPr>
          <w:rFonts w:ascii="Arial Narrow" w:hAnsi="Arial Narrow"/>
        </w:rPr>
        <w:t xml:space="preserve">La Ruta del Vino Ribera del Duero recorre las cuatro provincias castellanoleonesas que engloba la Denominación de Origen homónima, Burgos, Segovia, Soria y Valladolid. Se extiende por una franja de 115 kilómetros de este a </w:t>
      </w:r>
      <w:r w:rsidR="00967449" w:rsidRPr="00C22AA2">
        <w:rPr>
          <w:rFonts w:ascii="Arial Narrow" w:hAnsi="Arial Narrow"/>
        </w:rPr>
        <w:t>oeste y apenas 35 de norte a sur y cuenta con más de 21.000 hectáreas de viñedo</w:t>
      </w:r>
      <w:r w:rsidRPr="00C22AA2">
        <w:rPr>
          <w:rFonts w:ascii="Arial Narrow" w:hAnsi="Arial Narrow"/>
        </w:rPr>
        <w:t xml:space="preserve">. </w:t>
      </w:r>
    </w:p>
    <w:p w:rsidR="00CE4B4E" w:rsidRDefault="00967449" w:rsidP="00C22AA2">
      <w:pPr>
        <w:spacing w:after="120"/>
        <w:jc w:val="both"/>
        <w:rPr>
          <w:rFonts w:ascii="Arial Narrow" w:hAnsi="Arial Narrow"/>
        </w:rPr>
      </w:pPr>
      <w:r w:rsidRPr="00C22AA2">
        <w:rPr>
          <w:rFonts w:ascii="Arial Narrow" w:hAnsi="Arial Narrow"/>
        </w:rPr>
        <w:t>Está integrada por</w:t>
      </w:r>
      <w:r w:rsidR="00786F67">
        <w:rPr>
          <w:rFonts w:ascii="Arial Narrow" w:hAnsi="Arial Narrow"/>
        </w:rPr>
        <w:t xml:space="preserve"> 260</w:t>
      </w:r>
      <w:r w:rsidR="00CE4B4E" w:rsidRPr="00C22AA2">
        <w:rPr>
          <w:rFonts w:ascii="Arial Narrow" w:hAnsi="Arial Narrow"/>
        </w:rPr>
        <w:t xml:space="preserve"> asociados</w:t>
      </w:r>
      <w:r w:rsidR="0060173E">
        <w:rPr>
          <w:rFonts w:ascii="Arial Narrow" w:hAnsi="Arial Narrow"/>
        </w:rPr>
        <w:t xml:space="preserve"> y adheridos</w:t>
      </w:r>
      <w:r w:rsidR="00CE4B4E" w:rsidRPr="00C22AA2">
        <w:rPr>
          <w:rFonts w:ascii="Arial Narrow" w:hAnsi="Arial Narrow"/>
        </w:rPr>
        <w:t>. Entre ellos se encuentran 5</w:t>
      </w:r>
      <w:r w:rsidR="00785AB8">
        <w:rPr>
          <w:rFonts w:ascii="Arial Narrow" w:hAnsi="Arial Narrow"/>
        </w:rPr>
        <w:t>7</w:t>
      </w:r>
      <w:r w:rsidR="00CE4B4E" w:rsidRPr="00C22AA2">
        <w:rPr>
          <w:rFonts w:ascii="Arial Narrow" w:hAnsi="Arial Narrow"/>
        </w:rPr>
        <w:t xml:space="preserve"> municipios, cinco asociaciones, incluido el Consejo Regulador de la Denominación de Origen Ribera del Duero, 56 bodegas, 46 alojamientos, 30 restaurantes y 24 museos y centros de interpretación, entre ellos seis dedicados en exclusiva al vino. Enotecas y comercios, establecimientos de ocio y oficinas de turismo completan el listado de adhesiones a este itinerario turístico.</w:t>
      </w:r>
    </w:p>
    <w:p w:rsidR="0069169A" w:rsidRPr="00C22AA2" w:rsidRDefault="0069169A" w:rsidP="00C22AA2">
      <w:pPr>
        <w:spacing w:after="120"/>
        <w:jc w:val="both"/>
        <w:rPr>
          <w:rFonts w:ascii="Arial Narrow" w:hAnsi="Arial Narrow"/>
        </w:rPr>
      </w:pPr>
    </w:p>
    <w:p w:rsidR="00A55CCC" w:rsidRPr="00A24E9B" w:rsidRDefault="00A24E9B" w:rsidP="0035024F">
      <w:pPr>
        <w:jc w:val="both"/>
        <w:rPr>
          <w:b/>
          <w:sz w:val="28"/>
          <w:szCs w:val="28"/>
        </w:rPr>
      </w:pPr>
      <w:r w:rsidRPr="00A24E9B">
        <w:rPr>
          <w:b/>
          <w:sz w:val="28"/>
          <w:szCs w:val="28"/>
        </w:rPr>
        <w:t>*</w:t>
      </w:r>
      <w:r w:rsidR="00A55CCC" w:rsidRPr="00A24E9B">
        <w:rPr>
          <w:b/>
          <w:sz w:val="28"/>
          <w:szCs w:val="28"/>
        </w:rPr>
        <w:t>*Para declaraciones o entrevistas,</w:t>
      </w:r>
      <w:r w:rsidR="003156F0" w:rsidRPr="00A24E9B">
        <w:rPr>
          <w:b/>
          <w:sz w:val="28"/>
          <w:szCs w:val="28"/>
        </w:rPr>
        <w:t xml:space="preserve"> podéis contactar</w:t>
      </w:r>
      <w:r w:rsidR="00A55CCC" w:rsidRPr="00A24E9B">
        <w:rPr>
          <w:b/>
          <w:sz w:val="28"/>
          <w:szCs w:val="28"/>
        </w:rPr>
        <w:t xml:space="preserve"> con:</w:t>
      </w:r>
    </w:p>
    <w:p w:rsidR="003156F0" w:rsidRDefault="003156F0" w:rsidP="0035024F">
      <w:pPr>
        <w:jc w:val="both"/>
        <w:rPr>
          <w:b/>
        </w:rPr>
        <w:sectPr w:rsidR="003156F0" w:rsidSect="00A2683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0173E" w:rsidRDefault="003156F0" w:rsidP="00A24E9B">
      <w:pPr>
        <w:spacing w:after="0"/>
        <w:jc w:val="both"/>
        <w:rPr>
          <w:sz w:val="20"/>
          <w:szCs w:val="20"/>
        </w:rPr>
      </w:pPr>
      <w:r>
        <w:rPr>
          <w:b/>
        </w:rPr>
        <w:lastRenderedPageBreak/>
        <w:t>Sara García</w:t>
      </w:r>
      <w:r w:rsidR="0060173E">
        <w:rPr>
          <w:b/>
        </w:rPr>
        <w:t xml:space="preserve"> </w:t>
      </w:r>
      <w:r w:rsidR="0060173E" w:rsidRPr="0060173E">
        <w:t>(</w:t>
      </w:r>
      <w:r w:rsidR="00A24E9B" w:rsidRPr="00BE24CA">
        <w:rPr>
          <w:sz w:val="20"/>
          <w:szCs w:val="20"/>
        </w:rPr>
        <w:t>Gerente Ruta Vino Ribera Duero</w:t>
      </w:r>
      <w:r w:rsidR="0060173E">
        <w:rPr>
          <w:sz w:val="20"/>
          <w:szCs w:val="20"/>
        </w:rPr>
        <w:t>)</w:t>
      </w:r>
      <w:r w:rsidR="00650334">
        <w:rPr>
          <w:sz w:val="20"/>
          <w:szCs w:val="20"/>
        </w:rPr>
        <w:t xml:space="preserve"> </w:t>
      </w:r>
      <w:r w:rsidR="0060173E">
        <w:rPr>
          <w:sz w:val="20"/>
          <w:szCs w:val="20"/>
        </w:rPr>
        <w:t>947 10 72 54 – 637 82 59 87</w:t>
      </w:r>
    </w:p>
    <w:p w:rsidR="00342D8D" w:rsidRDefault="00342D8D" w:rsidP="003156F0">
      <w:pPr>
        <w:spacing w:after="0"/>
        <w:rPr>
          <w:b/>
          <w:color w:val="C45911" w:themeColor="accent2" w:themeShade="BF"/>
          <w:sz w:val="28"/>
          <w:szCs w:val="28"/>
        </w:rPr>
      </w:pPr>
    </w:p>
    <w:p w:rsidR="00342D8D" w:rsidRDefault="00342D8D" w:rsidP="003156F0">
      <w:pPr>
        <w:spacing w:after="0"/>
        <w:rPr>
          <w:b/>
          <w:color w:val="C45911" w:themeColor="accent2" w:themeShade="BF"/>
          <w:sz w:val="28"/>
          <w:szCs w:val="28"/>
        </w:rPr>
      </w:pPr>
    </w:p>
    <w:p w:rsidR="00A55CCC" w:rsidRPr="009E310D" w:rsidRDefault="00A55CCC" w:rsidP="003156F0">
      <w:pPr>
        <w:spacing w:after="0"/>
        <w:rPr>
          <w:b/>
          <w:sz w:val="28"/>
          <w:szCs w:val="28"/>
          <w:lang w:val="es-ES_tradnl"/>
        </w:rPr>
      </w:pPr>
      <w:r w:rsidRPr="00A55CCC">
        <w:rPr>
          <w:b/>
          <w:color w:val="C45911" w:themeColor="accent2" w:themeShade="BF"/>
          <w:sz w:val="28"/>
          <w:szCs w:val="28"/>
          <w:lang w:val="es-ES_tradnl"/>
        </w:rPr>
        <w:lastRenderedPageBreak/>
        <w:t>S</w:t>
      </w:r>
      <w:r w:rsidRPr="009E310D">
        <w:rPr>
          <w:b/>
          <w:color w:val="323E4F" w:themeColor="text2" w:themeShade="BF"/>
          <w:sz w:val="28"/>
          <w:szCs w:val="28"/>
          <w:lang w:val="es-ES_tradnl"/>
        </w:rPr>
        <w:t>CRIBO COMUNICACIÓN</w:t>
      </w:r>
    </w:p>
    <w:p w:rsidR="00650334" w:rsidRDefault="0043154C" w:rsidP="00A24E9B">
      <w:pPr>
        <w:spacing w:after="0"/>
        <w:rPr>
          <w:b/>
          <w:lang w:val="es-ES_tradnl"/>
        </w:rPr>
      </w:pPr>
      <w:hyperlink r:id="rId7" w:history="1">
        <w:r w:rsidR="00A55CCC" w:rsidRPr="00656AEA">
          <w:rPr>
            <w:rStyle w:val="Hipervnculo"/>
            <w:lang w:val="es-ES_tradnl"/>
          </w:rPr>
          <w:t>info@scribo.es</w:t>
        </w:r>
      </w:hyperlink>
      <w:r w:rsidR="003156F0">
        <w:rPr>
          <w:rStyle w:val="Hipervnculo"/>
          <w:lang w:val="es-ES_tradnl"/>
        </w:rPr>
        <w:t xml:space="preserve"> </w:t>
      </w:r>
      <w:r w:rsidR="00A55CCC" w:rsidRPr="005363FB">
        <w:rPr>
          <w:b/>
          <w:lang w:val="es-ES_tradnl"/>
        </w:rPr>
        <w:t>Tel: 947 55 93 28</w:t>
      </w:r>
    </w:p>
    <w:p w:rsidR="0060173E" w:rsidRPr="00BE24CA" w:rsidRDefault="00A55CCC" w:rsidP="00A24E9B">
      <w:pPr>
        <w:spacing w:after="0"/>
        <w:rPr>
          <w:noProof/>
          <w:sz w:val="20"/>
          <w:szCs w:val="20"/>
          <w:lang w:eastAsia="es-ES"/>
        </w:rPr>
        <w:sectPr w:rsidR="0060173E" w:rsidRPr="00BE24CA" w:rsidSect="003156F0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FF7C34">
        <w:rPr>
          <w:b/>
          <w:lang w:val="es-ES_tradnl"/>
        </w:rPr>
        <w:t xml:space="preserve">Móvil: 626 107 065 </w:t>
      </w:r>
      <w:r w:rsidR="00650334">
        <w:rPr>
          <w:noProof/>
          <w:sz w:val="20"/>
          <w:szCs w:val="20"/>
          <w:lang w:eastAsia="es-ES"/>
        </w:rPr>
        <w:t>(Aurora  o Nieves)</w:t>
      </w:r>
    </w:p>
    <w:p w:rsidR="00A55CCC" w:rsidRPr="00C076A8" w:rsidRDefault="00A55CCC" w:rsidP="006204D3">
      <w:pPr>
        <w:spacing w:after="0"/>
        <w:rPr>
          <w:sz w:val="24"/>
          <w:szCs w:val="24"/>
        </w:rPr>
      </w:pPr>
    </w:p>
    <w:sectPr w:rsidR="00A55CCC" w:rsidRPr="00C076A8" w:rsidSect="00A2683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BFA"/>
    <w:multiLevelType w:val="hybridMultilevel"/>
    <w:tmpl w:val="4CA23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533B0"/>
    <w:multiLevelType w:val="hybridMultilevel"/>
    <w:tmpl w:val="5B982B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906E7"/>
    <w:multiLevelType w:val="hybridMultilevel"/>
    <w:tmpl w:val="E9DC4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872"/>
    <w:rsid w:val="00083A3D"/>
    <w:rsid w:val="00176285"/>
    <w:rsid w:val="001B29EF"/>
    <w:rsid w:val="00294D2C"/>
    <w:rsid w:val="002E142A"/>
    <w:rsid w:val="00306543"/>
    <w:rsid w:val="003156F0"/>
    <w:rsid w:val="00342D8D"/>
    <w:rsid w:val="0035024F"/>
    <w:rsid w:val="0043154C"/>
    <w:rsid w:val="00450280"/>
    <w:rsid w:val="00494F7A"/>
    <w:rsid w:val="00521005"/>
    <w:rsid w:val="005A24C1"/>
    <w:rsid w:val="005F2BAC"/>
    <w:rsid w:val="0060173E"/>
    <w:rsid w:val="006204D3"/>
    <w:rsid w:val="00632002"/>
    <w:rsid w:val="00644332"/>
    <w:rsid w:val="00650334"/>
    <w:rsid w:val="0069169A"/>
    <w:rsid w:val="006D562C"/>
    <w:rsid w:val="006F75C3"/>
    <w:rsid w:val="00752B29"/>
    <w:rsid w:val="00772CE0"/>
    <w:rsid w:val="00785AB8"/>
    <w:rsid w:val="00786F67"/>
    <w:rsid w:val="008548F0"/>
    <w:rsid w:val="00895B60"/>
    <w:rsid w:val="008D3DB8"/>
    <w:rsid w:val="008E4BF0"/>
    <w:rsid w:val="008F0749"/>
    <w:rsid w:val="00956F7F"/>
    <w:rsid w:val="00967449"/>
    <w:rsid w:val="009C3DA4"/>
    <w:rsid w:val="009E3E90"/>
    <w:rsid w:val="009F6A6E"/>
    <w:rsid w:val="00A23992"/>
    <w:rsid w:val="00A24E9B"/>
    <w:rsid w:val="00A26831"/>
    <w:rsid w:val="00A55CCC"/>
    <w:rsid w:val="00A6547D"/>
    <w:rsid w:val="00A73D2A"/>
    <w:rsid w:val="00A76872"/>
    <w:rsid w:val="00A80FBA"/>
    <w:rsid w:val="00AA1116"/>
    <w:rsid w:val="00AA53FD"/>
    <w:rsid w:val="00AB4543"/>
    <w:rsid w:val="00AE6ABD"/>
    <w:rsid w:val="00B802A0"/>
    <w:rsid w:val="00BA0562"/>
    <w:rsid w:val="00BC7A04"/>
    <w:rsid w:val="00BD42F9"/>
    <w:rsid w:val="00BE24CA"/>
    <w:rsid w:val="00C22AA2"/>
    <w:rsid w:val="00CE0171"/>
    <w:rsid w:val="00CE4B4E"/>
    <w:rsid w:val="00D04AD7"/>
    <w:rsid w:val="00D33250"/>
    <w:rsid w:val="00D84DE7"/>
    <w:rsid w:val="00DC05DB"/>
    <w:rsid w:val="00EA7F29"/>
    <w:rsid w:val="00F3364E"/>
    <w:rsid w:val="00F6159C"/>
    <w:rsid w:val="00F8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5CC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4B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2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A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5CC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C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4B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2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A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cribo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3444-1490-4BD2-9AD2-40ABF67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www.intercambiosvirtuales.org</cp:lastModifiedBy>
  <cp:revision>3</cp:revision>
  <cp:lastPrinted>2017-11-03T10:16:00Z</cp:lastPrinted>
  <dcterms:created xsi:type="dcterms:W3CDTF">2017-11-03T11:11:00Z</dcterms:created>
  <dcterms:modified xsi:type="dcterms:W3CDTF">2017-11-03T13:21:00Z</dcterms:modified>
</cp:coreProperties>
</file>